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44" w:type="pct"/>
        <w:tblInd w:w="103" w:type="dxa"/>
        <w:tblLook w:val="04A0"/>
      </w:tblPr>
      <w:tblGrid>
        <w:gridCol w:w="564"/>
        <w:gridCol w:w="1568"/>
        <w:gridCol w:w="7007"/>
      </w:tblGrid>
      <w:tr w:rsidR="00085361" w:rsidRPr="00085361" w:rsidTr="00085361">
        <w:trPr>
          <w:trHeight w:val="255"/>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b/>
                <w:bCs/>
                <w:color w:val="000000"/>
                <w:sz w:val="20"/>
                <w:szCs w:val="20"/>
                <w:lang w:eastAsia="id-ID"/>
              </w:rPr>
            </w:pPr>
            <w:r w:rsidRPr="00085361">
              <w:rPr>
                <w:rFonts w:ascii="Times New Roman" w:eastAsia="Times New Roman" w:hAnsi="Times New Roman" w:cs="Times New Roman"/>
                <w:b/>
                <w:bCs/>
                <w:color w:val="000000"/>
                <w:sz w:val="20"/>
                <w:szCs w:val="20"/>
                <w:lang w:eastAsia="id-ID"/>
              </w:rPr>
              <w:t>No</w:t>
            </w:r>
          </w:p>
        </w:tc>
        <w:tc>
          <w:tcPr>
            <w:tcW w:w="1568" w:type="dxa"/>
            <w:tcBorders>
              <w:top w:val="single" w:sz="4" w:space="0" w:color="auto"/>
              <w:left w:val="nil"/>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b/>
                <w:bCs/>
                <w:color w:val="000000"/>
                <w:sz w:val="20"/>
                <w:szCs w:val="20"/>
                <w:lang w:eastAsia="id-ID"/>
              </w:rPr>
            </w:pPr>
            <w:r w:rsidRPr="00085361">
              <w:rPr>
                <w:rFonts w:ascii="Times New Roman" w:eastAsia="Times New Roman" w:hAnsi="Times New Roman" w:cs="Times New Roman"/>
                <w:b/>
                <w:bCs/>
                <w:color w:val="000000"/>
                <w:sz w:val="20"/>
                <w:szCs w:val="20"/>
                <w:lang w:eastAsia="id-ID"/>
              </w:rPr>
              <w:t>Sumber Data</w:t>
            </w:r>
          </w:p>
        </w:tc>
        <w:tc>
          <w:tcPr>
            <w:tcW w:w="7007" w:type="dxa"/>
            <w:tcBorders>
              <w:top w:val="single" w:sz="4" w:space="0" w:color="auto"/>
              <w:left w:val="nil"/>
              <w:bottom w:val="single" w:sz="4" w:space="0" w:color="auto"/>
              <w:right w:val="single" w:sz="4" w:space="0" w:color="auto"/>
            </w:tcBorders>
            <w:shd w:val="clear" w:color="auto" w:fill="auto"/>
            <w:vAlign w:val="center"/>
            <w:hideMark/>
          </w:tcPr>
          <w:p w:rsidR="00085361" w:rsidRPr="00085361" w:rsidRDefault="00085361" w:rsidP="00085361">
            <w:pPr>
              <w:spacing w:after="0" w:line="240" w:lineRule="auto"/>
              <w:jc w:val="center"/>
              <w:rPr>
                <w:rFonts w:ascii="Times New Roman" w:eastAsia="Times New Roman" w:hAnsi="Times New Roman" w:cs="Times New Roman"/>
                <w:b/>
                <w:bCs/>
                <w:color w:val="000000"/>
                <w:sz w:val="20"/>
                <w:szCs w:val="20"/>
                <w:lang w:eastAsia="id-ID"/>
              </w:rPr>
            </w:pPr>
            <w:r w:rsidRPr="00085361">
              <w:rPr>
                <w:rFonts w:ascii="Times New Roman" w:eastAsia="Times New Roman" w:hAnsi="Times New Roman" w:cs="Times New Roman"/>
                <w:b/>
                <w:bCs/>
                <w:color w:val="000000"/>
                <w:sz w:val="20"/>
                <w:szCs w:val="20"/>
                <w:lang w:eastAsia="id-ID"/>
              </w:rPr>
              <w:t>Field Note</w:t>
            </w:r>
          </w:p>
        </w:tc>
      </w:tr>
      <w:tr w:rsidR="00085361" w:rsidRPr="00085361" w:rsidTr="00085361">
        <w:trPr>
          <w:trHeight w:val="255"/>
        </w:trPr>
        <w:tc>
          <w:tcPr>
            <w:tcW w:w="564" w:type="dxa"/>
            <w:tcBorders>
              <w:top w:val="nil"/>
              <w:left w:val="single" w:sz="4" w:space="0" w:color="auto"/>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b/>
                <w:bCs/>
                <w:color w:val="000000"/>
                <w:sz w:val="20"/>
                <w:szCs w:val="20"/>
                <w:lang w:eastAsia="id-ID"/>
              </w:rPr>
            </w:pPr>
            <w:r w:rsidRPr="00085361">
              <w:rPr>
                <w:rFonts w:ascii="Times New Roman" w:eastAsia="Times New Roman" w:hAnsi="Times New Roman" w:cs="Times New Roman"/>
                <w:b/>
                <w:bCs/>
                <w:color w:val="000000"/>
                <w:sz w:val="20"/>
                <w:szCs w:val="20"/>
                <w:lang w:eastAsia="id-ID"/>
              </w:rPr>
              <w:t>2</w:t>
            </w:r>
          </w:p>
        </w:tc>
        <w:tc>
          <w:tcPr>
            <w:tcW w:w="1568" w:type="dxa"/>
            <w:tcBorders>
              <w:top w:val="nil"/>
              <w:left w:val="nil"/>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PU</w:t>
            </w:r>
          </w:p>
        </w:tc>
        <w:tc>
          <w:tcPr>
            <w:tcW w:w="7007" w:type="dxa"/>
            <w:tcBorders>
              <w:top w:val="nil"/>
              <w:left w:val="nil"/>
              <w:bottom w:val="single" w:sz="4" w:space="0" w:color="auto"/>
              <w:right w:val="single" w:sz="4" w:space="0" w:color="auto"/>
            </w:tcBorders>
            <w:shd w:val="clear" w:color="auto" w:fill="auto"/>
            <w:hideMark/>
          </w:tcPr>
          <w:p w:rsidR="00085361" w:rsidRPr="00085361" w:rsidRDefault="00085361" w:rsidP="00085361">
            <w:pPr>
              <w:spacing w:after="0" w:line="240" w:lineRule="auto"/>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Tidak ada field note.</w:t>
            </w:r>
          </w:p>
        </w:tc>
      </w:tr>
      <w:tr w:rsidR="00085361" w:rsidRPr="00085361" w:rsidTr="00085361">
        <w:trPr>
          <w:trHeight w:val="7170"/>
        </w:trPr>
        <w:tc>
          <w:tcPr>
            <w:tcW w:w="564" w:type="dxa"/>
            <w:tcBorders>
              <w:top w:val="nil"/>
              <w:left w:val="single" w:sz="4" w:space="0" w:color="auto"/>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b/>
                <w:bCs/>
                <w:color w:val="000000"/>
                <w:sz w:val="20"/>
                <w:szCs w:val="20"/>
                <w:lang w:eastAsia="id-ID"/>
              </w:rPr>
            </w:pPr>
            <w:r w:rsidRPr="00085361">
              <w:rPr>
                <w:rFonts w:ascii="Times New Roman" w:eastAsia="Times New Roman" w:hAnsi="Times New Roman" w:cs="Times New Roman"/>
                <w:b/>
                <w:bCs/>
                <w:color w:val="000000"/>
                <w:sz w:val="20"/>
                <w:szCs w:val="20"/>
                <w:lang w:eastAsia="id-ID"/>
              </w:rPr>
              <w:t>3</w:t>
            </w:r>
          </w:p>
        </w:tc>
        <w:tc>
          <w:tcPr>
            <w:tcW w:w="1568" w:type="dxa"/>
            <w:tcBorders>
              <w:top w:val="nil"/>
              <w:left w:val="nil"/>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Bappeda</w:t>
            </w:r>
          </w:p>
        </w:tc>
        <w:tc>
          <w:tcPr>
            <w:tcW w:w="7007" w:type="dxa"/>
            <w:tcBorders>
              <w:top w:val="nil"/>
              <w:left w:val="nil"/>
              <w:bottom w:val="single" w:sz="4" w:space="0" w:color="auto"/>
              <w:right w:val="single" w:sz="4" w:space="0" w:color="auto"/>
            </w:tcBorders>
            <w:shd w:val="clear" w:color="auto" w:fill="auto"/>
            <w:hideMark/>
          </w:tcPr>
          <w:p w:rsidR="00085361" w:rsidRPr="00085361" w:rsidRDefault="00085361" w:rsidP="00085361">
            <w:pPr>
              <w:spacing w:after="0" w:line="240" w:lineRule="auto"/>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Tata ruang sudah kita kerjakan. Tapi baru-baru ini datang dari propinsi bahwa tata ruang kita ini banyak yang perlu diperbaiki, karena tata ruang nasional itu semestinya mengacu pada tata ruang pusat dan propinsi. Karena, propinsi juga belum selesai. Tugas kami saat ini hanya melengkapi data untuk propinsi melangkapi penyusunan tata ruang. Tata ruang yang ada, yang dahulu disahkan oleh DPRK itu hanya gambaran sementara yang ada di daerah kita. Namun begitu, kalau saya nilai, berdasarkan tata ruang yang ada (yang sudah disahkan),  itu sekitar 75 persen sudah ada kebenarannya. Jadi kita boleh mendapatkan tata ruang Aceh Tenggara, meskipun itu sedang dalam proses revisi di propinsi. Itu sudah bisa kita berikan. Tapi kalau dikatakan apakah sudah clear, itu memang belum selesai. Lagi prosen perbaikan dan melengkapi data. Kebetulan ada beberapa kabupaten di wilayah Aceh, termasuk salah satunya Aceh Tenggara. Yang ditata ruang kita itu, masalah yang paling mendasar, kita meminta hutan lindung yang di Kecamatan Lauser supaya dibebeskan menjadi APL (Arena Penggunaan Lain). Karena di sini tidak ada tambang, atau penghasilan lain selain berkebun. Masyarakat kita galakkan untuk berkebun, tetapi lahan kita terbatas. Kita lahannya terbatas, dan berpikir untuk pengadaan perkebunan di masa mendatang. Itu yang kita tuangkan di tata ruang, dan meminta perluasan. Kalau kita mengacu, kita minta kebijakan untuk Aceh Tenggara agar di Lauser itu dibebeskan untuk APL. Kondisinya, di sana itu statusnya memang hutan lindung, tapi secara faktual bukan lagi hutan. Tidak ada lagi hutan. Dahuu memang HPH. Kita minta sekitar 19.000 Ha untuk jadi APL, seluas itu sudah tidak ada hutan lagi. Di sana sekarang status kantor camat, koramil, SD, jalan, puskesma dan lain-lainnya, semua di kawasan lindung, tapi sudah tidak ada hutan lagi secara faktual. Kita bertanya-tanya sebetulnya dulu siapa yang salah. Kalau dulu statusnya hutan lindung, kenapa bisa keluar HPH? Kenapa dulu dibolehkan hutan itu dihabisi? Keuntungan lain kalau kawasan tadi dibebaskan, akses kita untuk ke Kota Subulusalam itu akan lebih lancar. Kita sudah mengupayakan agar pembukaan akses kita. Sebab di sana dulu kami rencana dengan Subulussalam, saling mengejar ke perbatasan untuk bisa lebih cepat.  Bapak bayangkan, oksigen dari dunia kita support, sementara kita mau ke ke Banda Aceh perlu waktu tiga hari untuk pulang pergi dengan waktu yang kita di Banda Aceh hanya beberapa jam saja.  Padahal, jalan ini hanya perlu 15-20 KM lagi yang perlu dibuka. Itu sudah ketemu antara yang dari dua arah ini. Ini yang dihalangi, ini kan sangat disayangkan. Hambatan kita untuk membauka akses jalan antara lain protes dari Walhi. Yang paling merugikan adalah jalan tembus ini amdalnya belum selesai. Padahal lebih banyak lagi hutan yang dirusak orang, dibandingkan dengan kita menembuskan jalan ini. Kenapa mereka selalu berpikir kalau jalan ini kita buka, maka hutan akan rusak? Padahal yang dibuka hanya sedikit. Padahal, kalau jalan ini dibuka, tugas orang kehutanan dan polhutnya yang akan mengawasi memelihara hutan.</w:t>
            </w:r>
          </w:p>
        </w:tc>
      </w:tr>
      <w:tr w:rsidR="00085361" w:rsidRPr="00085361" w:rsidTr="00085361">
        <w:trPr>
          <w:trHeight w:val="5715"/>
        </w:trPr>
        <w:tc>
          <w:tcPr>
            <w:tcW w:w="564" w:type="dxa"/>
            <w:tcBorders>
              <w:top w:val="nil"/>
              <w:left w:val="single" w:sz="4" w:space="0" w:color="auto"/>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b/>
                <w:bCs/>
                <w:color w:val="000000"/>
                <w:sz w:val="20"/>
                <w:szCs w:val="20"/>
                <w:lang w:eastAsia="id-ID"/>
              </w:rPr>
            </w:pPr>
            <w:r w:rsidRPr="00085361">
              <w:rPr>
                <w:rFonts w:ascii="Times New Roman" w:eastAsia="Times New Roman" w:hAnsi="Times New Roman" w:cs="Times New Roman"/>
                <w:b/>
                <w:bCs/>
                <w:color w:val="000000"/>
                <w:sz w:val="20"/>
                <w:szCs w:val="20"/>
                <w:lang w:eastAsia="id-ID"/>
              </w:rPr>
              <w:lastRenderedPageBreak/>
              <w:t>5</w:t>
            </w:r>
          </w:p>
        </w:tc>
        <w:tc>
          <w:tcPr>
            <w:tcW w:w="1568" w:type="dxa"/>
            <w:tcBorders>
              <w:top w:val="nil"/>
              <w:left w:val="nil"/>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Kejari</w:t>
            </w:r>
          </w:p>
        </w:tc>
        <w:tc>
          <w:tcPr>
            <w:tcW w:w="7007" w:type="dxa"/>
            <w:tcBorders>
              <w:top w:val="nil"/>
              <w:left w:val="nil"/>
              <w:bottom w:val="single" w:sz="4" w:space="0" w:color="auto"/>
              <w:right w:val="single" w:sz="4" w:space="0" w:color="auto"/>
            </w:tcBorders>
            <w:shd w:val="clear" w:color="auto" w:fill="auto"/>
            <w:hideMark/>
          </w:tcPr>
          <w:p w:rsidR="00085361" w:rsidRPr="00085361" w:rsidRDefault="00085361" w:rsidP="00085361">
            <w:pPr>
              <w:spacing w:after="0" w:line="240" w:lineRule="auto"/>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Masalah kita di sini adalah persoalan tapal batas. Tapal batas tidak jelas, masyarakat merambah kawasan hutan karena ketida jelasan tapal batas. Dibandingkan dulu, orangnya sekarang lebih banya. Tapal batas mungkin dahulu jauh dari pemukiman. Tapi karena sekarang masyarakat sudah banyak, maka terbentuklah desa-desa yang baru yang semakin mendekat dengan tapal batas, dan sekarang bahkan sudah masuk di area kawasan lindung. Di kawasan hutan lindung di Ketambe ada desa, juga perkebunan masyarakat. Masyarakat di kawasan hutan merasakan untuk membuat keranda atau kayu nisan di kuburan saja sekarang sudah kesulitan, karena itu konsep pelarangan menebang hutang harus mempertimbangkan bagaimana kearifan tradisional di masyarakat yang berbasis pemanfaatan kayu harus menjadi bagian yang dipertimbangkan. Melarang sepenuhnya justru akan mematikan kearifan lokal setempat. Konsep arsitektur mesjid-mesjid tradisional di Aceh masih banyak memanfaatkan kayu, karena itu masyarakat tidak bisa sepenuhnya dilarang memanfaatkan kayu. Hukum harus ditegakkan, tidak hanya untuk yang kecil, tetapi juga untuk semua orang. selama ini iloog hanya doarahkan hanya untuk masyarakat kecil saja. Tidak ada kasus pelanggaran hukum dibudang kehutanan yang melibatkan orang besar di Aceh Tenggara. Pengelolaan hutan belum dilaksanakan sesuai dengan regulasi yang ada, masih banyak aturan yang dilanggar. Belum ada aturan yang tehas yang membuat hutan lindung yang harus dilindungi. Di sekitar kawasan ketambe ada banyak pelaku yang melibatkan elite dalam perambahan hutan. Kesannya saat ini hukum masih berlaku dizona-zona dan waktu tertentu saja, hukum masih pilih-pilih saja. Justru yang kena sekarang orang-orang kecil saja.  Perlu pengukuran ulang tentang tapal batas hutan lindung. Kenyataannya dengan bertambahnya jumlah populasi, lahan semakin menyempit dan terjadi perambahan. Masyarakat di sini bekebun, di sini yang punya kebun atau yang buka lahan besar itu orang-orang pejabat, yang masyarakat hanya buruh saja. Tapi yang selalu kena yang masyarakat biasa. Ini yang kita rasakan.  Memang perambahan tidak masif dalam artian menggunakan alat berat, tapi masih sekedar menggunakan sinso. Memang kalau ditanya, mereka tanya untk di rumah, meski kenyataannya tidak untuk rumah. Tapi saya lihat kalau warga kecil ini hanya untuk bisa hidup saja mereka menebang. Untuk yang begini kita gak tega menindak dengan hukuman samapai dua tahun.</w:t>
            </w:r>
          </w:p>
        </w:tc>
      </w:tr>
      <w:tr w:rsidR="00085361" w:rsidRPr="00085361" w:rsidTr="00085361">
        <w:trPr>
          <w:trHeight w:val="5715"/>
        </w:trPr>
        <w:tc>
          <w:tcPr>
            <w:tcW w:w="564" w:type="dxa"/>
            <w:tcBorders>
              <w:top w:val="nil"/>
              <w:left w:val="single" w:sz="4" w:space="0" w:color="auto"/>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b/>
                <w:bCs/>
                <w:color w:val="000000"/>
                <w:sz w:val="20"/>
                <w:szCs w:val="20"/>
                <w:lang w:eastAsia="id-ID"/>
              </w:rPr>
            </w:pPr>
            <w:r w:rsidRPr="00085361">
              <w:rPr>
                <w:rFonts w:ascii="Times New Roman" w:eastAsia="Times New Roman" w:hAnsi="Times New Roman" w:cs="Times New Roman"/>
                <w:b/>
                <w:bCs/>
                <w:color w:val="000000"/>
                <w:sz w:val="20"/>
                <w:szCs w:val="20"/>
                <w:lang w:eastAsia="id-ID"/>
              </w:rPr>
              <w:t>7</w:t>
            </w:r>
          </w:p>
        </w:tc>
        <w:tc>
          <w:tcPr>
            <w:tcW w:w="1568" w:type="dxa"/>
            <w:tcBorders>
              <w:top w:val="nil"/>
              <w:left w:val="nil"/>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Kepolisian</w:t>
            </w:r>
          </w:p>
        </w:tc>
        <w:tc>
          <w:tcPr>
            <w:tcW w:w="7007" w:type="dxa"/>
            <w:tcBorders>
              <w:top w:val="nil"/>
              <w:left w:val="nil"/>
              <w:bottom w:val="single" w:sz="4" w:space="0" w:color="auto"/>
              <w:right w:val="single" w:sz="4" w:space="0" w:color="auto"/>
            </w:tcBorders>
            <w:shd w:val="clear" w:color="auto" w:fill="auto"/>
            <w:noWrap/>
            <w:vAlign w:val="bottom"/>
            <w:hideMark/>
          </w:tcPr>
          <w:p w:rsidR="00085361" w:rsidRPr="00085361" w:rsidRDefault="00085361" w:rsidP="00085361">
            <w:pPr>
              <w:spacing w:after="0" w:line="240" w:lineRule="auto"/>
              <w:jc w:val="both"/>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 xml:space="preserve">Sekarang kita menghadapi masalah perluasan pemanfaatan lahan oleh masyarakat di kawasan yang statusnya lindung. Saat ini ada kecamatan yang wilayahnya masuk di kawasan lindung. Ini potensi konflik. Pemanfaatan lahan di kawasan lindung oleh masyarakat harus dibatas, karena kalau tidak dibatasi berpotensi menjadi konflik di masa mendatang. Karena masyarakat akan menabang hutan di situ, dan membuat kebun. Di Aceh Tenggara, mata pencaharian utama masyarakat petani. Di sini tidak ada perusahaan perkebunan, atau perusahaan yang bergerak di bidang kehutanan. Yang ada perkebunan masyarakat itu pun jumlahnya tidak besar. Kalau ada sawit, karet itu hanya perorangan, dan jumlahnya tidak besar. Program pemerintah harus komperehensif. Kalau tidak tertata akan berdampak lingkungan. Sekarang ini di sini ada banjir tahunan. Tata ruang kita ini harus segera diselesaikan. Sekarang ini masih memakai tata ruang yang lama. Tata ruang terkait dengan kawasan hutan semestinya berdasarkan keputusan menteri. Yang ada itu hanya dasarnya keputusan di tingkat kabupaten. Karena itu harus segera diselesaikan. Karena masyarakat yang buka lahan yang di Lauser itu bisa disalahkan, karena berdasarkan keputusan menteri di situ meruoakan kawasan lindung. Area APL sangat sedikit. Sangat sempit bila dibandingkan dengan jumlah masyarakatnya. Karena itu memang langkah memperluas APL itu siudah tetap, tetapi kalau sekarang dirambah dahulu sebelum ada keputusan menteri kehutanan, itu tetap pelanggaran hukum.  Kalau dibiarkan begitu saja, masyarakat seolah-olah tetap melanggar hukum. Itu memang kebutuhan, tapi ada hal-hal yang harus dikaji, agar tidak terjadi perambahan di kawasan hutan lindung. Saya melihat kalau di Aceh Tenggara, peran pemerintah daerah terhadap masalah kawasan, sangat rendah . hampir tidak ada. Ada kontra peroduktif antara perintah dan program. Bibit coklat misalnya dibagi-bagikan kepada msayarakat, sementara bibit tersebut ditanam dikawasan hutan. Ini kan tindakan yang tidak cocok dengan program pelestarian hutan. Sementara dalam programnya pemerintah daerah katakan akan melestarikan kawasan hutan. Ini kan kontradiktif. Kalau pelestarian hutan itu kan penanaman kayu, tapi yang dilakukan adalah membuat </w:t>
            </w:r>
            <w:r w:rsidRPr="00085361">
              <w:rPr>
                <w:rFonts w:ascii="Times New Roman" w:eastAsia="Times New Roman" w:hAnsi="Times New Roman" w:cs="Times New Roman"/>
                <w:color w:val="000000"/>
                <w:sz w:val="20"/>
                <w:szCs w:val="20"/>
                <w:lang w:eastAsia="id-ID"/>
              </w:rPr>
              <w:lastRenderedPageBreak/>
              <w:t>kebun. Sudah banyak masyarakat yang melakukan aktifitas ekonomi di kawasan lindung. Mengatasi masalah pengelolaan hutan dan mengurangi perambahan adalah : (a) Pemetaaan ulang dan penentuan tapal batas kawasan; (b) Penguatan sumber daya manusia. Untuk melakukan pemetaan itu kan di sini belum punya ahli planology, maka harus dilakukan di Medan. Itu harus dikuatkan Fasilitas dan prasarana harus dikuatkan.</w:t>
            </w:r>
          </w:p>
        </w:tc>
      </w:tr>
      <w:tr w:rsidR="00085361" w:rsidRPr="00085361" w:rsidTr="00085361">
        <w:trPr>
          <w:trHeight w:val="4320"/>
        </w:trPr>
        <w:tc>
          <w:tcPr>
            <w:tcW w:w="564" w:type="dxa"/>
            <w:tcBorders>
              <w:top w:val="nil"/>
              <w:left w:val="single" w:sz="4" w:space="0" w:color="auto"/>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lastRenderedPageBreak/>
              <w:t>8</w:t>
            </w:r>
          </w:p>
        </w:tc>
        <w:tc>
          <w:tcPr>
            <w:tcW w:w="1568" w:type="dxa"/>
            <w:tcBorders>
              <w:top w:val="nil"/>
              <w:left w:val="nil"/>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Akademsi</w:t>
            </w:r>
          </w:p>
        </w:tc>
        <w:tc>
          <w:tcPr>
            <w:tcW w:w="7007" w:type="dxa"/>
            <w:tcBorders>
              <w:top w:val="nil"/>
              <w:left w:val="nil"/>
              <w:bottom w:val="single" w:sz="4" w:space="0" w:color="auto"/>
              <w:right w:val="single" w:sz="4" w:space="0" w:color="auto"/>
            </w:tcBorders>
            <w:shd w:val="clear" w:color="auto" w:fill="auto"/>
            <w:hideMark/>
          </w:tcPr>
          <w:p w:rsidR="00085361" w:rsidRPr="00085361" w:rsidRDefault="00085361" w:rsidP="00085361">
            <w:pPr>
              <w:spacing w:after="0" w:line="240" w:lineRule="auto"/>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 xml:space="preserve"> Pada prinsipnya masyarakat kita sangat setuju untuk menjaga hutan. Tapi yang menjadi masalah adalah, orang-orang ini kalau dilarang menebang hutan, lalu mereka dapat hidup dari mana. Dari mana mereka akan makan.  LSM Lokal rata-rata PNS, termasuk juga mereka menjadi pejabat negara di daerah. Jika main set lama lama yang dibangun, bahw mereka tidak dapat percaya dengan LSM yang pegiatnya PNS atau Pejabat negara, maka kerjasama akan susah untuk di bangun. Itu yang pertama. Yang kedua, untuk pelaksnaan kegiatan di Aceh Tenggara harus semaksimal mungkin memberdayaakan orang lokal. Ini jumlahnya sangat banyak. Jangan buka kantor di sini, ceaning servis juga di bawa sendiri. Kalau tidak aspiratif dengan masyarakat, maka NGO luar juga tidak akan dapat bekerja dengan tenang di sini. LSM yang bergerak di sini banyak desa b8inaan mereka yang berhasil, dan yang gerakkan itu aktivis LSM yang juga PNS. Ada pertanyaan orang Jepang kepada saya tentang kenapa di sini aktivis LSM-nya juga PNS. Saya balik bertanya: anda kagum atau anda sedang bertanya. Saya jelaskan pada mereka inilah hebatnya di sini, karena begitu tinggi kepeduliannya terhadap masyarakat, maka hal-hal yang  tidak dapat dijangkau ketika kapasitas dia selaku PNS, maka dia akan lakukan dalam kapasitas sebagai aktivis LSM. Kalau di PNS banyak atasan yang harus dia minta izin iuntuk melakukan sesuatu, sementara dalam kapasitasnya sebagai aktivis LSM dia bisa melakukan apapun tanpa dihambat keputusan yang birokratis dan menghambat. Mereka lebih bisa berbicara atas nama masyarakat dalam kapasitas PNS. Saya sendiri: ini kan punya tiga kapsitas: saya NGO, saya akadeisi di UGL dan saya juga kepa badan di Dinas Penyuluhan di Aceh tenggara. Semua isu itu melekat pada diri saya, saya gal bisa pilah-pilahkan pandangan saya atas penglihatan realitas sosial. Tapi Bapak juga bisa minta pesan saya mau jawaban versi yang mana.</w:t>
            </w:r>
          </w:p>
        </w:tc>
      </w:tr>
      <w:tr w:rsidR="00085361" w:rsidRPr="00085361" w:rsidTr="00085361">
        <w:trPr>
          <w:trHeight w:val="5985"/>
        </w:trPr>
        <w:tc>
          <w:tcPr>
            <w:tcW w:w="564" w:type="dxa"/>
            <w:tcBorders>
              <w:top w:val="nil"/>
              <w:left w:val="single" w:sz="4" w:space="0" w:color="auto"/>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lastRenderedPageBreak/>
              <w:t>9</w:t>
            </w:r>
          </w:p>
        </w:tc>
        <w:tc>
          <w:tcPr>
            <w:tcW w:w="1568" w:type="dxa"/>
            <w:tcBorders>
              <w:top w:val="nil"/>
              <w:left w:val="nil"/>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Jurnalis</w:t>
            </w:r>
          </w:p>
        </w:tc>
        <w:tc>
          <w:tcPr>
            <w:tcW w:w="7007" w:type="dxa"/>
            <w:tcBorders>
              <w:top w:val="nil"/>
              <w:left w:val="nil"/>
              <w:bottom w:val="single" w:sz="4" w:space="0" w:color="auto"/>
              <w:right w:val="single" w:sz="4" w:space="0" w:color="auto"/>
            </w:tcBorders>
            <w:shd w:val="clear" w:color="auto" w:fill="auto"/>
            <w:hideMark/>
          </w:tcPr>
          <w:p w:rsidR="00085361" w:rsidRPr="00085361" w:rsidRDefault="00085361" w:rsidP="00085361">
            <w:pPr>
              <w:spacing w:after="0" w:line="240" w:lineRule="auto"/>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 xml:space="preserve">Wawancara dilakukan satu hari setelah pemungutan suara untuk Pilkada Aceh Tenggara, dimana incumbent memenangkan pemilihan berdasarkan hasil perhitungan sementara (belum disahkan KPUD). Kami mendiskusikan bagaimana incumbent memosisikan diri terkait dengan masalah lingkungan, untuk menggalang suara dalam memenangkan pilkada. Kami mendapatkan informasi bahwa selama lima tahun terakhir memarintah Agara, Bupati Hasanuddin, cukup aktif memberi bantuan bibit kakao kepada para petani untuk ditanam dipekarangan, atau lahan masing-masing. Tapi tidak jarang juga penanaman dilakukan dikawasan yang masuk dalam area penyangga di hutan lindung. Bupati Sanu juga membentuk kecamatan Lauser, yang secara hukum status tanah berada di kawasan lindung, tetapi beliau berargumen bahwa ini salah satu cara yang da lakukan dalam memperdayakan ekonomi masyarakat.  Ini menjadi sangat efektif baginya untuk menggalang suara dalam pilkada, meskipun dia tidak secara langsung menggunakan bahasa isu lingkungan dalam kampanyenya. </w:t>
            </w:r>
            <w:r w:rsidRPr="00085361">
              <w:rPr>
                <w:rFonts w:ascii="Times New Roman" w:eastAsia="Times New Roman" w:hAnsi="Times New Roman" w:cs="Times New Roman"/>
                <w:color w:val="000000"/>
                <w:sz w:val="20"/>
                <w:szCs w:val="20"/>
                <w:lang w:eastAsia="id-ID"/>
              </w:rPr>
              <w:br/>
            </w:r>
            <w:r w:rsidRPr="00085361">
              <w:rPr>
                <w:rFonts w:ascii="Times New Roman" w:eastAsia="Times New Roman" w:hAnsi="Times New Roman" w:cs="Times New Roman"/>
                <w:color w:val="000000"/>
                <w:sz w:val="20"/>
                <w:szCs w:val="20"/>
                <w:lang w:eastAsia="id-ID"/>
              </w:rPr>
              <w:br/>
              <w:t xml:space="preserve">Yang didistribusikan bibit kakao, jagung, pupuk. Itu hasilnya sangat dirasakan masyarakat. Masyarakat melihat itu sangat efektif baginya. Progran Sanu ini penting karena pada program-program Bupati sebelumnya modal bantuannya tidak seperti ini. </w:t>
            </w:r>
            <w:r w:rsidRPr="00085361">
              <w:rPr>
                <w:rFonts w:ascii="Times New Roman" w:eastAsia="Times New Roman" w:hAnsi="Times New Roman" w:cs="Times New Roman"/>
                <w:color w:val="000000"/>
                <w:sz w:val="20"/>
                <w:szCs w:val="20"/>
                <w:lang w:eastAsia="id-ID"/>
              </w:rPr>
              <w:br/>
            </w:r>
            <w:r w:rsidRPr="00085361">
              <w:rPr>
                <w:rFonts w:ascii="Times New Roman" w:eastAsia="Times New Roman" w:hAnsi="Times New Roman" w:cs="Times New Roman"/>
                <w:color w:val="000000"/>
                <w:sz w:val="20"/>
                <w:szCs w:val="20"/>
                <w:lang w:eastAsia="id-ID"/>
              </w:rPr>
              <w:br/>
              <w:t xml:space="preserve">Kami juga bercerita tentang Sekda yang dua malam sebelum pemilihan tertangkap basah sedang melakukan money politik di rumahs eorang kepala desa. Ada duat yang sedang dibagi-bagikan. Belakang sekitar setengah bulan setelah hari pemilihan suara, Sekda dihadapan para demontran mengatakan atau tepatnya membuat pengakuan bahwa  Gaji ke-13 PNS yang sudah dicairkan tidak dibagikan ke PNS karena untuk kepentingan pilkada. Meskipun tidak ada bukti yang dapat dipercaya, publik di Aceh Tenggara menghubung-hubungkan antara dana yang dibagikan menjelang pilkada (money politik) berkaitan dengan gaji PNS yang belum dibagikan ke warga. </w:t>
            </w:r>
          </w:p>
        </w:tc>
      </w:tr>
      <w:tr w:rsidR="00085361" w:rsidRPr="00085361" w:rsidTr="00085361">
        <w:trPr>
          <w:trHeight w:val="5100"/>
        </w:trPr>
        <w:tc>
          <w:tcPr>
            <w:tcW w:w="564" w:type="dxa"/>
            <w:tcBorders>
              <w:top w:val="nil"/>
              <w:left w:val="single" w:sz="4" w:space="0" w:color="auto"/>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10</w:t>
            </w:r>
          </w:p>
        </w:tc>
        <w:tc>
          <w:tcPr>
            <w:tcW w:w="1568" w:type="dxa"/>
            <w:tcBorders>
              <w:top w:val="nil"/>
              <w:left w:val="nil"/>
              <w:bottom w:val="single" w:sz="4" w:space="0" w:color="auto"/>
              <w:right w:val="single" w:sz="4" w:space="0" w:color="auto"/>
            </w:tcBorders>
            <w:shd w:val="clear" w:color="auto" w:fill="auto"/>
            <w:noWrap/>
            <w:vAlign w:val="center"/>
            <w:hideMark/>
          </w:tcPr>
          <w:p w:rsidR="00085361" w:rsidRPr="00085361" w:rsidRDefault="00085361" w:rsidP="00085361">
            <w:pPr>
              <w:spacing w:after="0" w:line="240" w:lineRule="auto"/>
              <w:jc w:val="center"/>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Legislator</w:t>
            </w:r>
          </w:p>
        </w:tc>
        <w:tc>
          <w:tcPr>
            <w:tcW w:w="7007" w:type="dxa"/>
            <w:tcBorders>
              <w:top w:val="nil"/>
              <w:left w:val="nil"/>
              <w:bottom w:val="single" w:sz="4" w:space="0" w:color="auto"/>
              <w:right w:val="single" w:sz="4" w:space="0" w:color="auto"/>
            </w:tcBorders>
            <w:shd w:val="clear" w:color="auto" w:fill="auto"/>
            <w:hideMark/>
          </w:tcPr>
          <w:p w:rsidR="00085361" w:rsidRPr="00085361" w:rsidRDefault="00085361" w:rsidP="00085361">
            <w:pPr>
              <w:spacing w:after="0" w:line="240" w:lineRule="auto"/>
              <w:jc w:val="both"/>
              <w:rPr>
                <w:rFonts w:ascii="Times New Roman" w:eastAsia="Times New Roman" w:hAnsi="Times New Roman" w:cs="Times New Roman"/>
                <w:color w:val="000000"/>
                <w:sz w:val="20"/>
                <w:szCs w:val="20"/>
                <w:lang w:eastAsia="id-ID"/>
              </w:rPr>
            </w:pPr>
            <w:r w:rsidRPr="00085361">
              <w:rPr>
                <w:rFonts w:ascii="Times New Roman" w:eastAsia="Times New Roman" w:hAnsi="Times New Roman" w:cs="Times New Roman"/>
                <w:color w:val="000000"/>
                <w:sz w:val="20"/>
                <w:szCs w:val="20"/>
                <w:lang w:eastAsia="id-ID"/>
              </w:rPr>
              <w:t xml:space="preserve">Saya kecewa karena data-data yang saya berikan kemudian disalah gunakan. Terkadang hak-hal saya dihalang-halangi karena saya dilegislatif terlalu kritis dalam memperjuangkan isu lingkungan. Itu terkait dengan Tata Ruang yang kearin. </w:t>
            </w:r>
            <w:r w:rsidRPr="00085361">
              <w:rPr>
                <w:rFonts w:ascii="Times New Roman" w:eastAsia="Times New Roman" w:hAnsi="Times New Roman" w:cs="Times New Roman"/>
                <w:color w:val="000000"/>
                <w:sz w:val="20"/>
                <w:szCs w:val="20"/>
                <w:lang w:eastAsia="id-ID"/>
              </w:rPr>
              <w:br/>
              <w:t xml:space="preserve">Kemarin saya diusir dari ruangan secara tidak hormat ketika saya mempertanyakan tata ruang. Saya diusir sendirian. Pimpinan dewan bilang dengan menunjukkan tangan kiri ke arah saya: tanpa Anpa pun saya bisa membahas ini. Itu diucapkan pimpinan dewan dalam persidangan resmi, di depan muspida pulus,  ketika kita sedang membahas tentang tata ruang. Saya merasa sendirian, karean di luar teman-teman di NGO juga tidak ada yang ngomong tentang kritik terhadap tata ruang yang. </w:t>
            </w:r>
            <w:r w:rsidRPr="00085361">
              <w:rPr>
                <w:rFonts w:ascii="Times New Roman" w:eastAsia="Times New Roman" w:hAnsi="Times New Roman" w:cs="Times New Roman"/>
                <w:color w:val="000000"/>
                <w:sz w:val="20"/>
                <w:szCs w:val="20"/>
                <w:lang w:eastAsia="id-ID"/>
              </w:rPr>
              <w:br/>
              <w:t xml:space="preserve">Masalah di Tata Ruang adalah pengalih-fungsian kawasan di Lauser menjadi kecamatan lauser, sementara wawan tersebut saat ini statusnya masih merupakan hutan lindung. Di sana sudah dibangun kantor kecamatan, jalan, mesjid, sekolah, penduduk jugamemang sudah banya. Pada2006 memang pemerintah meresmikan pembentukan kecamatan Lauser. Tetapi lokasinya berada di kawan lindung. Kita menolak ketika dalam tata ruang, Lauser disebutkan sebagai APL, sementara di pusat dan di propinsi statusnya masih kawasan lindung. </w:t>
            </w:r>
            <w:r w:rsidRPr="00085361">
              <w:rPr>
                <w:rFonts w:ascii="Times New Roman" w:eastAsia="Times New Roman" w:hAnsi="Times New Roman" w:cs="Times New Roman"/>
                <w:color w:val="000000"/>
                <w:sz w:val="20"/>
                <w:szCs w:val="20"/>
                <w:lang w:eastAsia="id-ID"/>
              </w:rPr>
              <w:br/>
              <w:t xml:space="preserve">Aktivis LSM dan masyarakat sengaja dilaparkan oleh pemerintah. Semestinya kita dengan kekayaan alam yang kita miliki, kita berhak mendapatkan “dunkin donat”, tetapi kita hanya diberi “kue lapis”. Kalau masyarakat protes, dikasi kue lapis sendiri, kalau demontrasi besar, baru dikasi dunkin donat. Lalu diam, di kasi “spageti”. Masyarakat dan aktivis LSM dibuat memiki ketergantungan dengan pemerintah. Begitu juga dengan media. Wartawan, kalau meu ke Medan, nelpon pejabat minta tiket dan ongkos untuk kemedan. Lalu, kalau pejabat tadi berkasus, mana mungkin wartawan tersebut mau ngangkat berita tentang kasus pejabat tersebut. Sebalik, wartawan kita juga tidak betul tingkahnya. Kalau nelpon pejabat tidak diangkat, maka dia bilang: tunggu kau pembalasanku.  Kasusnya dicari-cari untuk dimuat di media. Lalu dama, selesai masalah. Itu yang terjadi di Aceh Tenggara. Baik kajari, pejabat, LSM, wartawan, semuanya sama. </w:t>
            </w:r>
            <w:r w:rsidRPr="00085361">
              <w:rPr>
                <w:rFonts w:ascii="Times New Roman" w:eastAsia="Times New Roman" w:hAnsi="Times New Roman" w:cs="Times New Roman"/>
                <w:color w:val="000000"/>
                <w:sz w:val="20"/>
                <w:szCs w:val="20"/>
                <w:lang w:eastAsia="id-ID"/>
              </w:rPr>
              <w:br/>
              <w:t xml:space="preserve">Yang kita inginkan pemerintahan yang bersih sebagaimana diatur UU No 32. Tapi yang ada, pejabat melakukan korupsi berjamaah. </w:t>
            </w:r>
            <w:r w:rsidRPr="00085361">
              <w:rPr>
                <w:rFonts w:ascii="Times New Roman" w:eastAsia="Times New Roman" w:hAnsi="Times New Roman" w:cs="Times New Roman"/>
                <w:color w:val="000000"/>
                <w:sz w:val="20"/>
                <w:szCs w:val="20"/>
                <w:lang w:eastAsia="id-ID"/>
              </w:rPr>
              <w:br/>
              <w:t xml:space="preserve">Dulu kita, saya, Azen (Kabid di Dinas Kehutanan), Iqban Silian (Ketua KNPI, PNS </w:t>
            </w:r>
            <w:r w:rsidRPr="00085361">
              <w:rPr>
                <w:rFonts w:ascii="Times New Roman" w:eastAsia="Times New Roman" w:hAnsi="Times New Roman" w:cs="Times New Roman"/>
                <w:color w:val="000000"/>
                <w:sz w:val="20"/>
                <w:szCs w:val="20"/>
                <w:lang w:eastAsia="id-ID"/>
              </w:rPr>
              <w:lastRenderedPageBreak/>
              <w:t xml:space="preserve">di Pemda Aceh tenggara), merupakan satu paket yang berjuang bersama. Tetapi, sekarang sudah masing-masing. Saya berhara semua aktivis bergabung mengawal apa yang akan dilakukan oleh bupati yang baru. Saya berharap para aktivis yang sudah ada di beberapa lini ini membentuk tim yang mengawal pembangunan dan kemajuan Aceh Tenggara. Kita harus mengalokasikan sumber daya kita seusi dengan kemampuan. Kalau dikehutanan, Azen itu misalnya bagaimana mendapatkan tempat yang kuat untuk dia bisa menjalankan pikiran-pikirannya tentang kehutanan. </w:t>
            </w:r>
            <w:r w:rsidRPr="00085361">
              <w:rPr>
                <w:rFonts w:ascii="Times New Roman" w:eastAsia="Times New Roman" w:hAnsi="Times New Roman" w:cs="Times New Roman"/>
                <w:color w:val="000000"/>
                <w:sz w:val="20"/>
                <w:szCs w:val="20"/>
                <w:lang w:eastAsia="id-ID"/>
              </w:rPr>
              <w:br/>
              <w:t xml:space="preserve">Kalau kita mauperbaiki Aceh Tenggara: tata ruang yang kemarin disahkan DPRK itu harus dirubah, itu harus diperbaik. Orang-orangnya harus ditingkatkan SDM. Di Kecamatan lauser itu masih hutan lindung statusnya, sekarang tata ruangnya di sahkan sebagai APL, sementara di tingkat propinsi dan pusat statusnya kawasan lindung. Ini jadi rancau pemetaan potensi komoditi kita. Itu yang harus dirubah dulu. Di sini kadispun kepala pendidikan. Bagaimana dia mau tahu isu kehutanan. </w:t>
            </w:r>
            <w:r w:rsidRPr="00085361">
              <w:rPr>
                <w:rFonts w:ascii="Times New Roman" w:eastAsia="Times New Roman" w:hAnsi="Times New Roman" w:cs="Times New Roman"/>
                <w:color w:val="000000"/>
                <w:sz w:val="20"/>
                <w:szCs w:val="20"/>
                <w:lang w:eastAsia="id-ID"/>
              </w:rPr>
              <w:br/>
              <w:t xml:space="preserve">Kalau cerita tata ruang, tidak semua NGO tahu tentang isu tata ruang. Kalau kau ngomong tentang taat ruang sama mereka, mungkin dikira mengatur ruang dalam rumah. Tak tau mereka tentang tata ruang. Kalaupun ada, hanya sedikit teman-teman yang konsen di masalah tersebut.  </w:t>
            </w:r>
            <w:r w:rsidRPr="00085361">
              <w:rPr>
                <w:rFonts w:ascii="Times New Roman" w:eastAsia="Times New Roman" w:hAnsi="Times New Roman" w:cs="Times New Roman"/>
                <w:color w:val="000000"/>
                <w:sz w:val="20"/>
                <w:szCs w:val="20"/>
                <w:lang w:eastAsia="id-ID"/>
              </w:rPr>
              <w:br/>
              <w:t>Kita sebetulnya memahami argumen pemerintah daerah untuk mengubah Hutan Lindung menjadi APL. Tapi yang kita masalahkan adalah yang dilakukan pemerintah daerah tidak mengikuti aturan maun yang ada.</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085361"/>
    <w:rsid w:val="0026067C"/>
    <w:rsid w:val="00322C65"/>
    <w:rsid w:val="004165D1"/>
    <w:rsid w:val="006E5970"/>
    <w:rsid w:val="007C30A7"/>
    <w:rsid w:val="00AD0140"/>
    <w:rsid w:val="00D74DB4"/>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9597758">
      <w:bodyDiv w:val="1"/>
      <w:marLeft w:val="0"/>
      <w:marRight w:val="0"/>
      <w:marTop w:val="0"/>
      <w:marBottom w:val="0"/>
      <w:divBdr>
        <w:top w:val="none" w:sz="0" w:space="0" w:color="auto"/>
        <w:left w:val="none" w:sz="0" w:space="0" w:color="auto"/>
        <w:bottom w:val="none" w:sz="0" w:space="0" w:color="auto"/>
        <w:right w:val="none" w:sz="0" w:space="0" w:color="auto"/>
      </w:divBdr>
    </w:div>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2370</Words>
  <Characters>13509</Characters>
  <Application>Microsoft Office Word</Application>
  <DocSecurity>0</DocSecurity>
  <Lines>112</Lines>
  <Paragraphs>31</Paragraphs>
  <ScaleCrop>false</ScaleCrop>
  <Company/>
  <LinksUpToDate>false</LinksUpToDate>
  <CharactersWithSpaces>15848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2012-10-16T03:47:00Z</dcterms:modified>
</cp:coreProperties>
</file>